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gif" ContentType="image/gi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9180"/>
      </w:tblGrid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0"/>
                <w:shd w:fill="FFFFFF" w:val="clear"/>
              </w:rPr>
              <w:t>TERMO DE AUDIÊNCIA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 xml:space="preserve">PROCESSO Nº:                                                    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VARA DE TRAMITAÇÃO: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hAnsi="Arial"/>
                <w:sz w:val="20"/>
                <w:shd w:fill="FFFFFF" w:val="clear"/>
              </w:rPr>
              <w:t>CLASSE: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ASSUNTO: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CONCILIADOR(A):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REQUERENTE: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RG/CPF/TELEFONE: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ENDEREÇO: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ADVOGADO(A):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REQUERIDO: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RG/CPF/TELEFONE: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40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ENDEREÇO: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276" w:lineRule="exact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ADVOGADO (A):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9180"/>
      </w:tblGrid>
      <w:tr>
        <w:trPr>
          <w:trHeight w:hRule="atLeast" w:val="1"/>
          <w:cantSplit w:val="false"/>
        </w:trPr>
        <w:tc>
          <w:tcPr>
            <w:tcW w:type="dxa" w:w="9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sz w:val="20"/>
                <w:shd w:fill="FFFFFF" w:val="clear"/>
              </w:rPr>
              <w:t>No dia Sexta-feira, 23 de Novembro de 2018 às 12:32, na Sala 01 de audiências da Semana Nacional de Conciliação 2018, diante do Conciliador acima nomeado, foi aberta a audiência de conciliação e, sendo o caso, julgamento nos autos do processo judicial em epígrafe. Presentes os interessados referenciados e explicadas as vantagens da conciliação em busca da solução da causa. Exortadas, as partes chegaram ao seguinte ACORDO: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sz w:val="20"/>
          <w:szCs w:val="20"/>
        </w:rPr>
        <w:tab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180"/>
      </w:tblGrid>
      <w:tr>
        <w:trPr>
          <w:cantSplit w:val="false"/>
        </w:trPr>
        <w:tc>
          <w:tcPr>
            <w:tcW w:type="dxa" w:w="9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DA ANUÊNCIA DA DECRETAÇÃO DO DIVÓRCIO. DA ANUÊNCIA DA DECRETAÇÃO DO DIVÓRCIO. </w:t>
            </w: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 xml:space="preserve">Os </w:t>
            </w: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 xml:space="preserve">requerentes contraíram matrimônio em xxxxxx conforme certidão de casamento registrada sob o nº xxxx, em anexo. Nesta ato, os </w:t>
            </w: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 xml:space="preserve">cônjuges, livremente e sem hesitação, </w:t>
            </w: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>manifestam o</w:t>
            </w:r>
            <w:r>
              <w:rPr>
                <w:rFonts w:ascii="Arial" w:cs="Arial" w:hAnsi="Arial"/>
                <w:b w:val="false"/>
                <w:bCs w:val="false"/>
                <w:sz w:val="20"/>
                <w:szCs w:val="20"/>
              </w:rPr>
              <w:t xml:space="preserve"> propósito do divórcio,</w:t>
            </w:r>
            <w:r>
              <w:rPr>
                <w:rFonts w:ascii="Arial" w:cs="Arial" w:hAnsi="Arial"/>
                <w:sz w:val="20"/>
                <w:szCs w:val="20"/>
              </w:rPr>
              <w:t xml:space="preserve"> afirmando que não possuem filhos menores</w:t>
            </w:r>
            <w:bookmarkStart w:id="0" w:name="_GoBack"/>
            <w:bookmarkEnd w:id="0"/>
            <w:r>
              <w:rPr>
                <w:rFonts w:ascii="Arial" w:cs="Arial" w:hAnsi="Arial"/>
                <w:sz w:val="20"/>
                <w:szCs w:val="20"/>
              </w:rPr>
              <w:t>.</w:t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DOS BENS E RESPECTIVA PARTILHA. </w:t>
            </w:r>
            <w:r>
              <w:rPr>
                <w:rFonts w:ascii="Arial" w:cs="Arial" w:hAnsi="Arial"/>
                <w:sz w:val="20"/>
                <w:szCs w:val="20"/>
              </w:rPr>
              <w:t>Os bens do casal serão assim partilhados: cônjuge varão xxxxx ; cônjuge virago xxxx;</w:t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DA PENSÃO DOS CÔNJUGES. </w:t>
            </w:r>
            <w:r>
              <w:rPr>
                <w:rFonts w:ascii="Arial" w:cs="Arial" w:hAnsi="Arial"/>
                <w:sz w:val="20"/>
                <w:szCs w:val="20"/>
              </w:rPr>
              <w:t>Por possuírem meios próprios de subsistência, as partes se dispensam mutuamente de pensão alimentícia;</w:t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DO NOME DO CÔNJUGE FEMININO. </w:t>
            </w:r>
            <w:r>
              <w:rPr>
                <w:rFonts w:ascii="Arial" w:cs="Arial" w:hAnsi="Arial"/>
                <w:sz w:val="20"/>
                <w:szCs w:val="20"/>
              </w:rPr>
              <w:t>O cônjuge virago voltará a usar o nome de solteira, qual seja, xxxxxx.</w:t>
            </w:r>
          </w:p>
        </w:tc>
      </w:tr>
    </w:tbl>
    <w:p>
      <w:pPr>
        <w:pStyle w:val="style0"/>
        <w:spacing w:after="0" w:before="0"/>
        <w:contextualSpacing w:val="false"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180"/>
      </w:tblGrid>
      <w:tr>
        <w:trPr>
          <w:cantSplit w:val="false"/>
        </w:trPr>
        <w:tc>
          <w:tcPr>
            <w:tcW w:type="dxa" w:w="9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DA MANIFESTAÇÃO DOS PATRONOS DAS PARTES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Com a palavra, os patronos das partes requereram que fosse homologado o acordo firmado.</w:t>
            </w:r>
          </w:p>
        </w:tc>
      </w:tr>
    </w:tbl>
    <w:p>
      <w:pPr>
        <w:pStyle w:val="style0"/>
        <w:spacing w:after="0" w:before="0"/>
        <w:contextualSpacing w:val="false"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180"/>
      </w:tblGrid>
      <w:tr>
        <w:trPr>
          <w:cantSplit w:val="false"/>
        </w:trPr>
        <w:tc>
          <w:tcPr>
            <w:tcW w:type="dxa" w:w="9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>DA HOMOLOGAÇÃO JUDICIAL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 xml:space="preserve">Vistos. 1. Satisfeitas as exigências constantes da CF 226, § 6º, com a redação que lhe foi dada pela EC 66/2010, como ficou patenteado quando da ouvida das partes, sem possibilidade de reconciliação, </w:t>
            </w:r>
            <w:r>
              <w:rPr>
                <w:rFonts w:ascii="Arial" w:cs="Arial" w:hAnsi="Arial"/>
                <w:b/>
                <w:sz w:val="20"/>
                <w:szCs w:val="20"/>
              </w:rPr>
              <w:t>homologo o acordo de vontades firmado pelos convenentes</w:t>
            </w:r>
            <w:r>
              <w:rPr>
                <w:rFonts w:ascii="Arial" w:cs="Arial" w:hAnsi="Arial"/>
                <w:sz w:val="20"/>
                <w:szCs w:val="20"/>
              </w:rPr>
              <w:t>, decretando-lhes, em consequência, o divórcio, que se regerá pelas cláusulas e condições fixadas no referido acordo, que ficam fazendo parte integrante e inseparável desta decisão. Tendo, pois,</w:t>
            </w: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 xml:space="preserve"> a transação efeito de sentença, julgo extinto o processo com resolução de mérito, nos termos do art. 487, Inciso III, alínea "b" do CPC 2015. 2. Cumpridas as determinações constantes da avença, arquivem-se os autos, independentemente do trânsito em julgado desta decisão, por se tratar de feito cujo deslinde se deu pela via da transação. 3. Sem Custas. 4. Prolatada esta decisão em audiência, dou-a por publicada e as partes por intimadas. Registre-se. 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180"/>
      </w:tblGrid>
      <w:tr>
        <w:trPr>
          <w:cantSplit w:val="false"/>
        </w:trPr>
        <w:tc>
          <w:tcPr>
            <w:tcW w:type="dxa" w:w="9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>ENCERRAMENTO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CÓPIA DESTA DECISÃO, DEVIDAMENTE SELADA, VALERÁ COMO MANDADO E/OU OFÍCIO NECESSÁRIO PARA O CUMPRIMENTO DAS DISPOSIÇÕES SENTENCIAIS. </w:t>
            </w:r>
            <w:r>
              <w:rPr>
                <w:rFonts w:ascii="Arial" w:cs="Arial" w:hAnsi="Arial"/>
                <w:sz w:val="20"/>
                <w:szCs w:val="20"/>
              </w:rPr>
              <w:t>Nada mais.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0"/>
          <w:szCs w:val="20"/>
        </w:rPr>
        <w:t>Juiz(a) de Direito: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0"/>
          <w:szCs w:val="20"/>
        </w:rPr>
        <w:t>Conciliador(a):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0"/>
          <w:szCs w:val="20"/>
        </w:rPr>
        <w:t>Requerente: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0"/>
          <w:szCs w:val="20"/>
        </w:rPr>
        <w:t>Patrono Requerente: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sz w:val="20"/>
          <w:szCs w:val="20"/>
        </w:rPr>
        <w:t>Requerido: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Arial" w:cs="Arial" w:hAnsi="Arial"/>
          <w:sz w:val="20"/>
          <w:szCs w:val="20"/>
        </w:rPr>
        <w:t>Patrono Requerido:</w:t>
      </w:r>
    </w:p>
    <w:sectPr>
      <w:headerReference r:id="rId2" w:type="default"/>
      <w:type w:val="nextPage"/>
      <w:pgSz w:h="16838" w:w="11906"/>
      <w:pgMar w:bottom="1417" w:footer="0" w:gutter="0" w:header="708" w:left="1701" w:right="1133" w:top="1417"/>
      <w:pgNumType w:fmt="decimal"/>
      <w:formProt w:val="false"/>
      <w:textDirection w:val="lrTb"/>
      <w:docGrid w:charSpace="1392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type="dxa" w:w="113"/>
      <w:tblBorders>
        <w:top w:val="none"/>
        <w:left w:val="none"/>
        <w:bottom w:val="none"/>
        <w:insideH w:val="none"/>
        <w:right w:val="none"/>
        <w:insideV w:val="none"/>
      </w:tblBorders>
      <w:tblCellMar>
        <w:top w:type="dxa" w:w="0"/>
        <w:left w:type="dxa" w:w="113"/>
        <w:bottom w:type="dxa" w:w="0"/>
        <w:right w:type="dxa" w:w="108"/>
      </w:tblCellMar>
    </w:tblPr>
    <w:tblGrid>
      <w:gridCol w:w="1418"/>
      <w:gridCol w:w="7222"/>
    </w:tblGrid>
    <w:tr>
      <w:trPr>
        <w:cantSplit w:val="false"/>
      </w:trPr>
      <w:tc>
        <w:tcPr>
          <w:tcW w:type="dxa" w:w="1418"/>
          <w:tcBorders>
            <w:top w:val="none"/>
            <w:left w:val="none"/>
            <w:bottom w:val="none"/>
            <w:right w:val="none"/>
          </w:tcBorders>
          <w:shd w:fill="FFFFFF" w:val="clear"/>
        </w:tcPr>
        <w:p>
          <w:pPr>
            <w:pStyle w:val="style27"/>
          </w:pPr>
          <w:r>
            <w:rPr/>
            <w:drawing>
              <wp:anchor allowOverlap="1" behindDoc="1" distB="0" distL="0" distR="0" distT="0" layoutInCell="1" locked="0" relativeHeight="1" simplePos="0">
                <wp:simplePos x="0" y="0"/>
                <wp:positionH relativeFrom="character">
                  <wp:posOffset>-1905</wp:posOffset>
                </wp:positionH>
                <wp:positionV relativeFrom="line">
                  <wp:posOffset>0</wp:posOffset>
                </wp:positionV>
                <wp:extent cx="764540" cy="682625"/>
                <wp:effectExtent b="0" l="0" r="0" t="0"/>
                <wp:wrapNone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7222"/>
          <w:tcBorders>
            <w:top w:val="none"/>
            <w:left w:val="none"/>
            <w:bottom w:val="none"/>
            <w:right w:val="none"/>
          </w:tcBorders>
          <w:shd w:fill="FFFFFF" w:val="clear"/>
          <w:vAlign w:val="center"/>
        </w:tcPr>
        <w:p>
          <w:pPr>
            <w:pStyle w:val="style0"/>
            <w:spacing w:after="0" w:before="0" w:line="100" w:lineRule="atLeast"/>
            <w:contextualSpacing w:val="false"/>
          </w:pPr>
          <w:r>
            <w:rPr>
              <w:rFonts w:ascii="Arial" w:cs="Arial" w:eastAsia="Times New Roman" w:hAnsi="Arial"/>
              <w:b/>
              <w:bCs/>
              <w:caps/>
              <w:color w:val="000000"/>
              <w:sz w:val="20"/>
              <w:szCs w:val="20"/>
              <w:lang w:eastAsia="pt-BR"/>
            </w:rPr>
            <w:t>PODER JUDICIÁRIO DO ESTADO DO PIAUÍ</w:t>
          </w:r>
        </w:p>
        <w:p>
          <w:pPr>
            <w:pStyle w:val="style0"/>
            <w:spacing w:after="0" w:before="0" w:line="100" w:lineRule="atLeast"/>
            <w:contextualSpacing w:val="false"/>
          </w:pPr>
          <w:r>
            <w:rPr>
              <w:rFonts w:ascii="Arial" w:cs="Arial" w:eastAsia="Times New Roman" w:hAnsi="Arial"/>
              <w:b/>
              <w:bCs/>
              <w:caps/>
              <w:color w:val="000000"/>
              <w:sz w:val="20"/>
              <w:szCs w:val="20"/>
              <w:lang w:eastAsia="pt-BR"/>
            </w:rPr>
            <w:t>SEMANA NACIONAL DE CONCILIAÇÃO 2017</w:t>
          </w:r>
        </w:p>
        <w:p>
          <w:pPr>
            <w:pStyle w:val="style0"/>
            <w:spacing w:after="0" w:before="0" w:line="100" w:lineRule="atLeast"/>
            <w:contextualSpacing w:val="false"/>
          </w:pPr>
          <w:r>
            <w:rPr>
              <w:rFonts w:ascii="Arial" w:cs="Arial" w:eastAsia="Times New Roman" w:hAnsi="Arial"/>
              <w:caps/>
              <w:color w:val="000000"/>
              <w:sz w:val="20"/>
              <w:szCs w:val="20"/>
              <w:lang w:eastAsia="pt-BR"/>
            </w:rPr>
            <w:t>RUA GOVERNADOR TIBÉRIO NUNES, S/N, CABRAL, 64000-830, TERESINA-PI, FÓRUM DES. JOAQUIM SOUSA NETO</w:t>
          </w:r>
        </w:p>
      </w:tc>
    </w:tr>
  </w:tbl>
  <w:p>
    <w:pPr>
      <w:pStyle w:val="style27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1"/>
    <w:pPr>
      <w:keepNext/>
      <w:keepLines/>
      <w:spacing w:after="0" w:before="480"/>
      <w:contextualSpacing w:val="false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b/>
      <w:bCs/>
      <w:sz w:val="28"/>
      <w:szCs w:val="28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40" w:before="0" w:line="288" w:lineRule="auto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Título principal"/>
    <w:basedOn w:val="style0"/>
    <w:next w:val="style25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Cabeçalho"/>
    <w:basedOn w:val="style0"/>
    <w:next w:val="style27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8" w:type="paragraph">
    <w:name w:val="Rodapé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2015-11-20T15:49:00.00Z</dcterms:created>
  <dc:creator>savio</dc:creator>
  <dc:language>pt</dc:language>
  <cp:lastModifiedBy>Lucicleide Pereira Belo</cp:lastModifiedBy>
  <dcterms:modified xsi:type="dcterms:W3CDTF">2018-10-11T16:10:00.00Z</dcterms:modified>
  <cp:revision>7</cp:revision>
</cp:coreProperties>
</file>