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AC16" w14:textId="77777777" w:rsidR="002C4175" w:rsidRDefault="002C4175"/>
    <w:tbl>
      <w:tblPr>
        <w:tblW w:w="10280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2736"/>
        <w:gridCol w:w="7544"/>
      </w:tblGrid>
      <w:tr w:rsidR="002C4175" w14:paraId="457C1FF9" w14:textId="77777777">
        <w:tc>
          <w:tcPr>
            <w:tcW w:w="2736" w:type="dxa"/>
            <w:tcBorders>
              <w:right w:val="single" w:sz="4" w:space="0" w:color="000000"/>
            </w:tcBorders>
            <w:shd w:val="clear" w:color="auto" w:fill="auto"/>
          </w:tcPr>
          <w:p w14:paraId="08948E34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O pedido é direcionado ao Presidente, em razão do art. 347 - F, da Resolução n° 21/2016 do TJPI.</w:t>
            </w:r>
          </w:p>
          <w:p w14:paraId="46201BEF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8DC7EC2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DF7B7A3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34CB5EA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Informe os números dos processos paradigmas</w:t>
            </w:r>
          </w:p>
          <w:p w14:paraId="70EBB9B5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E403D95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187351A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B0CF438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Identifique o autor (qualifique, se for o caso).</w:t>
            </w:r>
          </w:p>
          <w:p w14:paraId="1B01F704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56E12CB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AD3D461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B8776E4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6E8C0A6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A338683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5BBF9C6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76A04E2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94A37EE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F507988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D53289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A497FC0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0B6C07F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E037025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4F23B7E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BE1467D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C59EA9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089CA7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129441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7263925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06AED8D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127FB0A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Apresente a controvérsia e especifique a questão submetida a julgamento.</w:t>
            </w:r>
          </w:p>
          <w:p w14:paraId="45D666AE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D2DF5F4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7417C30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6462285" w14:textId="77777777" w:rsidR="00BF636E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Exponha um dos entendimentos que delimitem a controvérsia.</w:t>
            </w:r>
          </w:p>
          <w:p w14:paraId="6BA6FD23" w14:textId="77777777" w:rsidR="00BF636E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04A2A18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Cite julgados que demonstram este entendimento.</w:t>
            </w:r>
          </w:p>
          <w:p w14:paraId="383D904B" w14:textId="77777777" w:rsidR="00BF636E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CD56238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Exponha outro entendimento que delimita a controvérsia que envolve a questão.</w:t>
            </w:r>
          </w:p>
          <w:p w14:paraId="1125BF76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02EBF6C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Cite julgados que demonstram este entendimento.</w:t>
            </w:r>
          </w:p>
          <w:p w14:paraId="4C727CD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F2CC9AE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441F62C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Resuma a controvérsia, mostrando o ponto de divergência, de forma a auxiliar na delimitação da questão submetida.</w:t>
            </w:r>
          </w:p>
          <w:p w14:paraId="018DC74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722F211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2AD5902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F3C7711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DB0C31C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139CD47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1852144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B5A0CEF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8AF27D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298E04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DE147A8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686CA8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C148D5B" w14:textId="77777777" w:rsidR="00BF636E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B7FE6FA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Demonstre a repetitividade, discorrendo sobre o volume de processos.</w:t>
            </w:r>
          </w:p>
          <w:p w14:paraId="34CCD5A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12DDA96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72781AF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1A70491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F672165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278D6B1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0D10436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D9B8980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2F6C40C" w14:textId="77777777" w:rsidR="00BF636E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FCBE44F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Demonstre o potencial risco de ofensa à isonomia e à segurança jurídica.</w:t>
            </w:r>
          </w:p>
          <w:p w14:paraId="4C02B6E4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F2F1CFA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D77559F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61C9473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177B19A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7E55921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4992E50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3929F6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AFA4BA5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F34E43E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B24D632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F3A146E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522E98C0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0A6E0F4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D10DD5C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B0901C5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395930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C36FAD7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441EF08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07BF973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F1D67D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625DD14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59F1BA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3F5029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971B07B" w14:textId="77777777" w:rsidR="002C4175" w:rsidRDefault="00BF636E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Identifique a legitimidade do formulador do pedido</w:t>
            </w:r>
            <w:r>
              <w:rPr>
                <w:color w:val="00B050"/>
                <w:sz w:val="20"/>
                <w:szCs w:val="20"/>
              </w:rPr>
              <w:t>.</w:t>
            </w:r>
          </w:p>
          <w:p w14:paraId="698C0CB0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CCFAA02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5B9E20D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721BF99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4C0373B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0D13CCCC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BA4530C" w14:textId="77777777" w:rsidR="002C4175" w:rsidRDefault="002C4175">
            <w:pPr>
              <w:pStyle w:val="LO-normal"/>
              <w:widowControl w:val="0"/>
              <w:spacing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7A12E240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17EAADC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36D8C45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Identifique os elementos que constam em anexo no presente pedido.</w:t>
            </w:r>
          </w:p>
          <w:p w14:paraId="0CAAFE73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6F02AEA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6AB2223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E4944FF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BE8D1E4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DC8D6D8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CE6ED18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2227648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F206359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8903A34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015B3E1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BA2BA85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CDA5CDA" w14:textId="77777777" w:rsidR="00BF636E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028FD8D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Fale sobre a questão exclusivamente de direito.</w:t>
            </w:r>
          </w:p>
          <w:p w14:paraId="0F93C27F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299456C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D091E6B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21E0D513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Cite a questão submetida, de forma que possa delimitar ao máximo a discussão proposta.</w:t>
            </w:r>
          </w:p>
          <w:p w14:paraId="495B0A73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4ACC1BB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3291089D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Assinatura do proponente.</w:t>
            </w:r>
          </w:p>
          <w:p w14:paraId="0104352C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9788D10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40C85B82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00B05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Cargo/função do proponente.</w:t>
            </w:r>
          </w:p>
          <w:p w14:paraId="616B4E26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6CA1E7B6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A431E24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00B050"/>
                <w:sz w:val="20"/>
                <w:szCs w:val="20"/>
              </w:rPr>
            </w:pPr>
          </w:p>
          <w:p w14:paraId="1BE809A5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  <w:color w:val="FF0000"/>
                <w:sz w:val="20"/>
                <w:szCs w:val="20"/>
              </w:rPr>
            </w:pPr>
            <w:r>
              <w:rPr>
                <w:rFonts w:eastAsia="EB Garamond"/>
                <w:color w:val="00B050"/>
                <w:sz w:val="20"/>
                <w:szCs w:val="20"/>
              </w:rPr>
              <w:t>Local e data</w:t>
            </w:r>
            <w:r>
              <w:rPr>
                <w:rFonts w:eastAsia="EB Garamond"/>
                <w:color w:val="FF0000"/>
                <w:sz w:val="20"/>
                <w:szCs w:val="20"/>
              </w:rPr>
              <w:t>.</w:t>
            </w:r>
          </w:p>
          <w:p w14:paraId="2FC6CC1E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color w:val="FF0000"/>
                <w:sz w:val="20"/>
                <w:szCs w:val="20"/>
              </w:rPr>
            </w:pPr>
          </w:p>
        </w:tc>
        <w:tc>
          <w:tcPr>
            <w:tcW w:w="7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1782E" w14:textId="77777777" w:rsidR="002C4175" w:rsidRDefault="00BF636E">
            <w:pPr>
              <w:pStyle w:val="NormalWeb"/>
              <w:widowControl w:val="0"/>
              <w:spacing w:before="280" w:after="160" w:afterAutospacing="0" w:line="360" w:lineRule="auto"/>
              <w:jc w:val="both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lastRenderedPageBreak/>
              <w:t>EXCELENTÍSSIMO (A) SENHOR (A) DESEMBARGADOR (A) PRESIDENTE DO TRIBUNAL DE JUSTIÇA DO ESTADO DO PIAUÍ</w:t>
            </w:r>
          </w:p>
          <w:p w14:paraId="7FBC8261" w14:textId="77777777" w:rsidR="002C4175" w:rsidRDefault="002C4175">
            <w:pPr>
              <w:pStyle w:val="NormalWeb"/>
              <w:widowControl w:val="0"/>
              <w:spacing w:before="280" w:after="160" w:afterAutospacing="0" w:line="360" w:lineRule="auto"/>
              <w:jc w:val="both"/>
              <w:rPr>
                <w:rFonts w:eastAsia="EB Garamond"/>
              </w:rPr>
            </w:pPr>
          </w:p>
          <w:p w14:paraId="7DE2C53C" w14:textId="77777777" w:rsidR="002C4175" w:rsidRDefault="002C4175">
            <w:pPr>
              <w:pStyle w:val="NormalWeb"/>
              <w:widowControl w:val="0"/>
              <w:spacing w:before="100" w:after="160" w:afterAutospacing="0"/>
              <w:jc w:val="both"/>
              <w:rPr>
                <w:rFonts w:eastAsia="EB Garamond"/>
              </w:rPr>
            </w:pPr>
          </w:p>
          <w:p w14:paraId="7FB594B1" w14:textId="77777777" w:rsidR="002C4175" w:rsidRDefault="00BF636E">
            <w:pPr>
              <w:pStyle w:val="NormalWeb"/>
              <w:widowControl w:val="0"/>
              <w:spacing w:before="100" w:after="160" w:afterAutospacing="0"/>
              <w:jc w:val="both"/>
            </w:pPr>
            <w:r>
              <w:rPr>
                <w:rFonts w:eastAsia="EB Garamond"/>
              </w:rPr>
              <w:t xml:space="preserve">PROCESSOS </w:t>
            </w:r>
            <w:r>
              <w:t>PARADIGMAS</w:t>
            </w:r>
            <w:r>
              <w:rPr>
                <w:rFonts w:eastAsia="EB Garamond"/>
              </w:rPr>
              <w:t xml:space="preserve">: </w:t>
            </w:r>
          </w:p>
          <w:p w14:paraId="74163AEA" w14:textId="77777777" w:rsidR="002C4175" w:rsidRDefault="002C4175">
            <w:pPr>
              <w:pStyle w:val="NormalWeb"/>
              <w:widowControl w:val="0"/>
              <w:spacing w:before="280" w:beforeAutospacing="0" w:after="160" w:afterAutospacing="0" w:line="360" w:lineRule="auto"/>
              <w:ind w:left="2268"/>
              <w:jc w:val="both"/>
            </w:pPr>
          </w:p>
          <w:p w14:paraId="13DF2383" w14:textId="77777777" w:rsidR="002C4175" w:rsidRDefault="002C4175">
            <w:pPr>
              <w:pStyle w:val="NormalWeb"/>
              <w:widowControl w:val="0"/>
              <w:spacing w:before="280" w:beforeAutospacing="0" w:after="160" w:afterAutospacing="0" w:line="360" w:lineRule="auto"/>
              <w:ind w:left="2268"/>
              <w:jc w:val="both"/>
            </w:pPr>
          </w:p>
          <w:p w14:paraId="72621FD8" w14:textId="77777777" w:rsidR="002C4175" w:rsidRDefault="00BF636E">
            <w:pPr>
              <w:pStyle w:val="NormalWeb"/>
              <w:widowControl w:val="0"/>
              <w:spacing w:before="280" w:beforeAutospacing="0" w:after="160" w:afterAutospacing="0" w:line="360" w:lineRule="auto"/>
              <w:jc w:val="both"/>
            </w:pPr>
            <w:r>
              <w:t xml:space="preserve">NOME DO AUTOR, devidamente qualificado nos autos em epígrafe, vem, respeitosamente, à presença de Vossa Excelência, requerer a instauração de </w:t>
            </w:r>
          </w:p>
          <w:p w14:paraId="396C97B5" w14:textId="77777777" w:rsidR="002C4175" w:rsidRDefault="002C4175">
            <w:pPr>
              <w:pStyle w:val="NormalWeb"/>
              <w:widowControl w:val="0"/>
              <w:spacing w:before="280" w:beforeAutospacing="0" w:after="160" w:afterAutospacing="0" w:line="360" w:lineRule="auto"/>
              <w:ind w:left="2268"/>
              <w:jc w:val="both"/>
            </w:pPr>
          </w:p>
          <w:p w14:paraId="1604C682" w14:textId="77777777" w:rsidR="002C4175" w:rsidRDefault="002C4175">
            <w:pPr>
              <w:pStyle w:val="NormalWeb"/>
              <w:widowControl w:val="0"/>
              <w:spacing w:before="280" w:beforeAutospacing="0" w:after="160" w:afterAutospacing="0" w:line="360" w:lineRule="auto"/>
              <w:ind w:left="2268"/>
              <w:jc w:val="both"/>
            </w:pPr>
          </w:p>
          <w:p w14:paraId="50403534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rStyle w:val="Forte"/>
              </w:rPr>
              <w:t>INCIDENTE DE RESOLUÇÃO DE DEMANDAS REPETITIVAS – IRDR</w:t>
            </w:r>
          </w:p>
          <w:p w14:paraId="4A45ECC6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77993C72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com fulcro no artigo 976 do Código de Processo Civil e artigo 347-C, §1°, I, do Regimento Interno do Tribunal de Justiça do Estado do Piauí, a fim de </w:t>
            </w:r>
            <w:r>
              <w:rPr>
                <w:rFonts w:eastAsia="EB Garamond"/>
                <w:bCs/>
              </w:rPr>
              <w:t>UNIFORMIZAR</w:t>
            </w:r>
            <w:r>
              <w:rPr>
                <w:rFonts w:eastAsia="EB Garamond"/>
              </w:rPr>
              <w:t xml:space="preserve"> o entendimento do Poder Judiciário no Estado, tendo em vista que se afere divergência de entendimento sobre a mesma questão jurídica, unicamente de direito, entre magistrados ou unidades judiciais, impossibilitando que se mantenha uma jurisprudência estável, íntegra e coerente.</w:t>
            </w:r>
          </w:p>
          <w:p w14:paraId="4CB0DD6C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382B4363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6EC50DEB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b/>
                <w:bCs/>
              </w:rPr>
            </w:pPr>
            <w:r>
              <w:rPr>
                <w:rFonts w:eastAsia="EB Garamond"/>
                <w:b/>
                <w:bCs/>
              </w:rPr>
              <w:t>QUESTÃO SUBMETIDA</w:t>
            </w:r>
          </w:p>
          <w:p w14:paraId="18B3F239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A questão que ora se submete a análise refere-se a __.</w:t>
            </w:r>
          </w:p>
          <w:p w14:paraId="4A60464E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Quanto à referida questão, verifica-se que existem decisões judiciais divergentes, conforme se demonstra a seguir, nos entendimentos adotados e pontos de divergência entre eles.</w:t>
            </w:r>
          </w:p>
          <w:p w14:paraId="6A75F0C1" w14:textId="77777777" w:rsidR="002C4175" w:rsidRDefault="002C4175" w:rsidP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49A214D3" w14:textId="77777777" w:rsidR="002C4175" w:rsidRDefault="00BF636E" w:rsidP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Constata-se haver julgados que entendem __.</w:t>
            </w:r>
          </w:p>
          <w:p w14:paraId="6A05AE07" w14:textId="77777777" w:rsidR="00BF636E" w:rsidRDefault="00BF636E" w:rsidP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76F23867" w14:textId="77777777" w:rsidR="00BF636E" w:rsidRDefault="00BF636E" w:rsidP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456ABCE8" w14:textId="77777777" w:rsidR="002C4175" w:rsidRDefault="00BF636E" w:rsidP="00BF636E">
            <w:pPr>
              <w:pStyle w:val="LO-normal"/>
              <w:widowControl w:val="0"/>
              <w:spacing w:before="60" w:after="60" w:line="360" w:lineRule="auto"/>
              <w:ind w:firstLine="709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São citações exemplificativas desse primeiro entendimento:</w:t>
            </w:r>
          </w:p>
          <w:p w14:paraId="2ADDE2EE" w14:textId="77777777" w:rsidR="00BF636E" w:rsidRDefault="00BF636E" w:rsidP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D57855A" w14:textId="77777777" w:rsidR="002C4175" w:rsidRDefault="00BF636E" w:rsidP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Doutra forma, há julgados que entendem __.</w:t>
            </w:r>
          </w:p>
          <w:p w14:paraId="41A38CB6" w14:textId="77777777" w:rsidR="00BF636E" w:rsidRDefault="00BF636E" w:rsidP="00BF636E">
            <w:pPr>
              <w:pStyle w:val="LO-normal"/>
              <w:widowControl w:val="0"/>
              <w:spacing w:before="60" w:after="60" w:line="360" w:lineRule="auto"/>
              <w:jc w:val="both"/>
            </w:pPr>
          </w:p>
          <w:p w14:paraId="3A59F2BE" w14:textId="77777777" w:rsidR="00BF636E" w:rsidRDefault="00BF636E" w:rsidP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27C22796" w14:textId="77777777" w:rsidR="002C4175" w:rsidRDefault="00BF636E" w:rsidP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</w:rPr>
              <w:t>São citações exemplificativas do segundo entendimento adotado:</w:t>
            </w:r>
          </w:p>
          <w:p w14:paraId="5E7560AF" w14:textId="77777777" w:rsidR="002C4175" w:rsidRDefault="002C4175">
            <w:pPr>
              <w:pStyle w:val="LO-normal"/>
              <w:widowControl w:val="0"/>
              <w:spacing w:before="60" w:after="60"/>
              <w:jc w:val="both"/>
            </w:pPr>
          </w:p>
          <w:p w14:paraId="580B0672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3A031A55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Dessa forma, o cerne da controvérsia está na __.</w:t>
            </w:r>
          </w:p>
          <w:p w14:paraId="2415FD55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</w:pPr>
          </w:p>
          <w:p w14:paraId="7AA4602B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</w:pPr>
          </w:p>
          <w:p w14:paraId="0F0A5DF7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1BC38873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CABIMENTO DO IRDR</w:t>
            </w:r>
          </w:p>
          <w:p w14:paraId="375674B3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</w:rPr>
              <w:t xml:space="preserve">Conforme o artigo 976 do CPC, o IRDR será cabível quando houver, simultaneamente, efetiva repetição de processos que contenham controvérsia sobre a mesma questão unicamente de direito (material ou processual, conforme o parágrafo único do art. 928 do CPC) e o risco de </w:t>
            </w:r>
            <w:r>
              <w:rPr>
                <w:rFonts w:eastAsia="EB Garamond"/>
              </w:rPr>
              <w:lastRenderedPageBreak/>
              <w:t xml:space="preserve">ofensa à isonomia e à segurança jurídica. </w:t>
            </w:r>
          </w:p>
          <w:p w14:paraId="0AC7D777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FA19AF1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b/>
              </w:rPr>
            </w:pPr>
            <w:r>
              <w:rPr>
                <w:rFonts w:eastAsia="EB Garamond"/>
                <w:b/>
              </w:rPr>
              <w:t>REQUISITOS LEGAIS DE ADMISSIBILIDADE</w:t>
            </w:r>
          </w:p>
          <w:p w14:paraId="65C1D78E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87751C7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I – Efetiva repetição de processos</w:t>
            </w:r>
          </w:p>
          <w:p w14:paraId="74892E69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O art. 976, I, CPC exige a efetiva multiplicação de processos com a discussão única e exclusivamente da mesma questão de direito. No entanto, a lei processual não fixa critérios numéricos específicos, cabendo ao julgador caracterizar a repetitividade, considerando que deve haver um número razoável de demandas.</w:t>
            </w:r>
          </w:p>
          <w:p w14:paraId="4DC65A4B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</w:pPr>
          </w:p>
          <w:p w14:paraId="4D82DBAB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30320298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099A4209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II – Risco de ofensa à isonomia e à segurança jurídica</w:t>
            </w:r>
          </w:p>
          <w:p w14:paraId="7DE40B50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A possibilidade de serem proferidas decisões diferentes em casos que se debate uma única questão de direito representa, por si só, risco à isonomia e à segurança jurídica. </w:t>
            </w:r>
          </w:p>
          <w:p w14:paraId="3092F72C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</w:pPr>
            <w:r>
              <w:rPr>
                <w:rFonts w:eastAsia="EB Garamond"/>
              </w:rPr>
              <w:t>Verifica-se o risco na medida em que __.</w:t>
            </w:r>
          </w:p>
          <w:p w14:paraId="1121173F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3D859192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  <w:b/>
                <w:bCs/>
              </w:rPr>
            </w:pPr>
            <w:r>
              <w:rPr>
                <w:rFonts w:eastAsia="EB Garamond"/>
                <w:b/>
                <w:bCs/>
              </w:rPr>
              <w:t>III – Inexistência de afetação por Tribunal Superior</w:t>
            </w:r>
          </w:p>
          <w:p w14:paraId="482E6508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 § 4º do artigo 976 do CPC impede a instauração de IRDR se já houver nos Tribunais Superiores afetação de tema que abarque a controvérsia que se deseja pacificar por meio de IRDR. </w:t>
            </w:r>
          </w:p>
          <w:p w14:paraId="36E6B953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Após realizar as pesquisas, não foi localizada qualquer afetação nos Tribunais Superiores sobre a questão, o que autoriza, conjugado aos requisitos anteriores, a admissibilidade deste incidente.</w:t>
            </w:r>
          </w:p>
          <w:p w14:paraId="4C6081B0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2D5C234A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b/>
              </w:rPr>
            </w:pPr>
            <w:r>
              <w:rPr>
                <w:rFonts w:eastAsia="EB Garamond"/>
                <w:b/>
              </w:rPr>
              <w:lastRenderedPageBreak/>
              <w:t>QUESITOS QUE AFETAM A ADMISSIBILIDADE</w:t>
            </w:r>
          </w:p>
          <w:p w14:paraId="42C2AC5E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b/>
              </w:rPr>
            </w:pPr>
          </w:p>
          <w:p w14:paraId="415B6DDC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 – Legitimidade</w:t>
            </w:r>
          </w:p>
          <w:p w14:paraId="6B927759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A legitimidade para a propositura de IRDR é elencada de forma taxativa no art. 977 do CPC. </w:t>
            </w:r>
          </w:p>
          <w:p w14:paraId="6CF976C8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Cumpre-se este requisito visto que o pedido foi formulado por: </w:t>
            </w:r>
          </w:p>
          <w:p w14:paraId="394ED4C3" w14:textId="77777777" w:rsidR="002C4175" w:rsidRDefault="00BF636E">
            <w:pPr>
              <w:pStyle w:val="LO-normal"/>
              <w:widowControl w:val="0"/>
              <w:numPr>
                <w:ilvl w:val="0"/>
                <w:numId w:val="1"/>
              </w:numPr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Magistrado</w:t>
            </w:r>
          </w:p>
          <w:p w14:paraId="20450B4B" w14:textId="77777777" w:rsidR="002C4175" w:rsidRDefault="00BF636E">
            <w:pPr>
              <w:pStyle w:val="LO-normal"/>
              <w:widowControl w:val="0"/>
              <w:numPr>
                <w:ilvl w:val="0"/>
                <w:numId w:val="1"/>
              </w:numPr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Parte</w:t>
            </w:r>
          </w:p>
          <w:p w14:paraId="13CEF68B" w14:textId="77777777" w:rsidR="002C4175" w:rsidRDefault="00BF636E">
            <w:pPr>
              <w:pStyle w:val="LO-normal"/>
              <w:widowControl w:val="0"/>
              <w:numPr>
                <w:ilvl w:val="0"/>
                <w:numId w:val="1"/>
              </w:numPr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Ministério Público</w:t>
            </w:r>
          </w:p>
          <w:p w14:paraId="05D4F21D" w14:textId="77777777" w:rsidR="002C4175" w:rsidRDefault="00BF636E">
            <w:pPr>
              <w:pStyle w:val="LO-normal"/>
              <w:widowControl w:val="0"/>
              <w:numPr>
                <w:ilvl w:val="0"/>
                <w:numId w:val="1"/>
              </w:numPr>
              <w:spacing w:before="60" w:after="6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Defensoria Pública</w:t>
            </w:r>
          </w:p>
          <w:p w14:paraId="5558FE2D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521BF4AA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 – Regularidade formal</w:t>
            </w:r>
          </w:p>
          <w:p w14:paraId="15860251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Tanto o ofício quanto a petição deverão ser instruídos com os documentos capazes de demonstrar o preenchimento dos pressupostos de instauração, conforme previsto no parágrafo único do art. 977 do CPC.</w:t>
            </w:r>
          </w:p>
          <w:p w14:paraId="511387C2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Foram anexados neste pedido os seguintes documentos:</w:t>
            </w:r>
          </w:p>
          <w:p w14:paraId="754C0F5D" w14:textId="77777777" w:rsidR="002C4175" w:rsidRDefault="00BF636E">
            <w:pPr>
              <w:pStyle w:val="LO-normal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Acórdãos</w:t>
            </w:r>
          </w:p>
          <w:p w14:paraId="01F66697" w14:textId="77777777" w:rsidR="002C4175" w:rsidRDefault="00BF636E">
            <w:pPr>
              <w:pStyle w:val="LO-normal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C</w:t>
            </w:r>
            <w:r>
              <w:rPr>
                <w:rFonts w:eastAsia="Arial Unicode MS"/>
              </w:rPr>
              <w:t>oletânea de ementas (com referências completas)</w:t>
            </w:r>
          </w:p>
          <w:p w14:paraId="64CA4F73" w14:textId="77777777" w:rsidR="002C4175" w:rsidRDefault="00BF636E">
            <w:pPr>
              <w:pStyle w:val="LO-normal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eastAsia="EB Garamond"/>
              </w:rPr>
            </w:pPr>
            <w:r>
              <w:rPr>
                <w:rFonts w:eastAsia="Arial Unicode MS"/>
              </w:rPr>
              <w:t>Sentenças e decisões</w:t>
            </w:r>
          </w:p>
          <w:p w14:paraId="4056C925" w14:textId="77777777" w:rsidR="002C4175" w:rsidRDefault="00BF636E">
            <w:pPr>
              <w:pStyle w:val="LO-normal"/>
              <w:widowControl w:val="0"/>
              <w:numPr>
                <w:ilvl w:val="0"/>
                <w:numId w:val="2"/>
              </w:numPr>
              <w:spacing w:before="60" w:after="60"/>
              <w:jc w:val="both"/>
            </w:pPr>
            <w:r>
              <w:rPr>
                <w:rFonts w:eastAsia="Arial Unicode MS"/>
              </w:rPr>
              <w:t xml:space="preserve">Outros (especificar): </w:t>
            </w:r>
          </w:p>
          <w:p w14:paraId="5C6F5D2B" w14:textId="77777777" w:rsidR="002C4175" w:rsidRDefault="002C4175">
            <w:pPr>
              <w:pStyle w:val="LO-normal"/>
              <w:widowControl w:val="0"/>
              <w:spacing w:before="60" w:after="60"/>
              <w:ind w:left="1428"/>
              <w:jc w:val="both"/>
            </w:pPr>
          </w:p>
          <w:p w14:paraId="37561476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III – Competência</w:t>
            </w:r>
          </w:p>
          <w:p w14:paraId="7C5BC489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>De acordo com o art. 978 do CPC, o julgamento do IRDR é feito pelo órgão o responsável pela uniformização da jurisprudência no Tribunal, que é definido por cada Tribunal no seu Regimento Interno.</w:t>
            </w:r>
          </w:p>
          <w:p w14:paraId="678FBB85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O Regimento Interno do TJPI define que o julgamento do incidente é competência do Tribunal Pleno (art. 81, II, “s”). </w:t>
            </w:r>
          </w:p>
          <w:p w14:paraId="1019D1FC" w14:textId="77777777" w:rsidR="002C4175" w:rsidRDefault="002C4175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</w:p>
          <w:p w14:paraId="49995CE7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IV – Questão meramente de direito</w:t>
            </w:r>
          </w:p>
          <w:p w14:paraId="1B8DF824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lastRenderedPageBreak/>
              <w:t>Em IRDR, a questão submetida a exame e a tese a ser fixada devem abranger apenas matéria de direito, não podendo envolver ou ter como base questões fáticas.</w:t>
            </w:r>
          </w:p>
          <w:p w14:paraId="307537F9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No presente caso, o tema envolve questões exclusivamente de direito, à medida que __. </w:t>
            </w:r>
          </w:p>
          <w:p w14:paraId="1BF11C75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</w:pPr>
          </w:p>
          <w:p w14:paraId="0BDD758C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  <w:b/>
              </w:rPr>
            </w:pPr>
            <w:r>
              <w:rPr>
                <w:rFonts w:eastAsia="EB Garamond"/>
                <w:b/>
              </w:rPr>
              <w:t>CONCLUSÃO</w:t>
            </w:r>
          </w:p>
          <w:p w14:paraId="49F32272" w14:textId="77777777" w:rsidR="002C4175" w:rsidRDefault="00BF636E">
            <w:pPr>
              <w:pStyle w:val="LO-normal"/>
              <w:widowControl w:val="0"/>
              <w:spacing w:before="60" w:after="60" w:line="360" w:lineRule="auto"/>
              <w:ind w:firstLine="708"/>
              <w:jc w:val="both"/>
              <w:rPr>
                <w:rFonts w:eastAsia="EB Garamond"/>
              </w:rPr>
            </w:pPr>
            <w:r>
              <w:rPr>
                <w:rFonts w:eastAsia="EB Garamond"/>
              </w:rPr>
              <w:t xml:space="preserve">Ante o exposto, submetendo à apreciação do </w:t>
            </w:r>
            <w:proofErr w:type="spellStart"/>
            <w:r>
              <w:rPr>
                <w:rFonts w:eastAsia="EB Garamond"/>
              </w:rPr>
              <w:t>Eg</w:t>
            </w:r>
            <w:proofErr w:type="spellEnd"/>
            <w:r>
              <w:rPr>
                <w:rFonts w:eastAsia="EB Garamond"/>
              </w:rPr>
              <w:t xml:space="preserve">. Tribunal Pleno propõe-se na instauração do IRDR a análise da seguinte questão jurídica: __. </w:t>
            </w:r>
          </w:p>
          <w:p w14:paraId="0F7D5E29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both"/>
              <w:rPr>
                <w:rFonts w:eastAsia="EB Garamond"/>
              </w:rPr>
            </w:pPr>
          </w:p>
          <w:p w14:paraId="57921034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4063741A" wp14:editId="4269DC77">
                  <wp:extent cx="2361565" cy="230505"/>
                  <wp:effectExtent l="0" t="0" r="0" b="0"/>
                  <wp:docPr id="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47568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</w:rPr>
            </w:pPr>
          </w:p>
          <w:p w14:paraId="0998DA72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</w:rPr>
            </w:pPr>
          </w:p>
          <w:p w14:paraId="4800FBB7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723BA4F5" wp14:editId="75344223">
                  <wp:extent cx="2361565" cy="230505"/>
                  <wp:effectExtent l="0" t="0" r="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56D13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</w:rPr>
            </w:pPr>
          </w:p>
          <w:p w14:paraId="78F66AAF" w14:textId="77777777" w:rsidR="002C4175" w:rsidRDefault="002C4175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</w:rPr>
            </w:pPr>
          </w:p>
          <w:p w14:paraId="2067B449" w14:textId="77777777" w:rsidR="002C4175" w:rsidRDefault="00BF636E">
            <w:pPr>
              <w:pStyle w:val="LO-normal"/>
              <w:widowControl w:val="0"/>
              <w:spacing w:before="60" w:after="60" w:line="360" w:lineRule="auto"/>
              <w:jc w:val="center"/>
              <w:rPr>
                <w:rFonts w:eastAsia="EB Garamond"/>
              </w:rPr>
            </w:pPr>
            <w:r>
              <w:rPr>
                <w:noProof/>
              </w:rPr>
              <w:drawing>
                <wp:inline distT="0" distB="0" distL="0" distR="0" wp14:anchorId="70DA31B9" wp14:editId="7DB26D88">
                  <wp:extent cx="2361565" cy="230505"/>
                  <wp:effectExtent l="0" t="0" r="0" b="0"/>
                  <wp:docPr id="3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369ED" w14:textId="77777777" w:rsidR="002C4175" w:rsidRDefault="002C4175">
      <w:pPr>
        <w:pStyle w:val="LO-normal"/>
        <w:spacing w:before="60" w:after="60" w:line="360" w:lineRule="auto"/>
        <w:jc w:val="both"/>
      </w:pPr>
    </w:p>
    <w:sectPr w:rsidR="002C4175" w:rsidSect="002C4175">
      <w:headerReference w:type="default" r:id="rId11"/>
      <w:footerReference w:type="default" r:id="rId12"/>
      <w:pgSz w:w="11906" w:h="16838"/>
      <w:pgMar w:top="3261" w:right="1134" w:bottom="1134" w:left="1701" w:header="425" w:footer="22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EDE0" w14:textId="77777777" w:rsidR="00A948BE" w:rsidRDefault="00A948BE" w:rsidP="002C4175">
      <w:r>
        <w:separator/>
      </w:r>
    </w:p>
  </w:endnote>
  <w:endnote w:type="continuationSeparator" w:id="0">
    <w:p w14:paraId="2C25EAB6" w14:textId="77777777" w:rsidR="00A948BE" w:rsidRDefault="00A948BE" w:rsidP="002C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C9AC" w14:textId="77777777" w:rsidR="002C4175" w:rsidRDefault="00BF636E">
    <w:pPr>
      <w:pStyle w:val="LO-normal"/>
      <w:tabs>
        <w:tab w:val="left" w:pos="8504"/>
      </w:tabs>
      <w:rPr>
        <w:color w:val="000000"/>
      </w:rPr>
    </w:pPr>
    <w:r>
      <w:rPr>
        <w:noProof/>
      </w:rPr>
      <w:drawing>
        <wp:anchor distT="0" distB="0" distL="0" distR="0" simplePos="0" relativeHeight="14" behindDoc="1" locked="0" layoutInCell="0" allowOverlap="1" wp14:anchorId="661A41C8" wp14:editId="185A7D5C">
          <wp:simplePos x="0" y="0"/>
          <wp:positionH relativeFrom="column">
            <wp:posOffset>4275455</wp:posOffset>
          </wp:positionH>
          <wp:positionV relativeFrom="paragraph">
            <wp:posOffset>-9864725</wp:posOffset>
          </wp:positionV>
          <wp:extent cx="914400" cy="841375"/>
          <wp:effectExtent l="0" t="0" r="0" b="0"/>
          <wp:wrapSquare wrapText="bothSides"/>
          <wp:docPr id="5" name="image1.png" descr="https://lh6.googleusercontent.com/CYlRL2ySyW_0bDImH9MeU_DT_CmTnBhYzmY9Lz3zsEoRTi0qrIpmcWvtA4M-Gm-CgoQkWZKyos-sSJAw6KVQwEc8WeK2k3DjV3hG4NKUuZG8GEAtcCxddIVYM0lXV6AZ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https://lh6.googleusercontent.com/CYlRL2ySyW_0bDImH9MeU_DT_CmTnBhYzmY9Lz3zsEoRTi0qrIpmcWvtA4M-Gm-CgoQkWZKyos-sSJAw6KVQwEc8WeK2k3DjV3hG4NKUuZG8GEAtcCxddIVYM0lXV6AZ=s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57A2" w14:textId="77777777" w:rsidR="00A948BE" w:rsidRDefault="00A948BE" w:rsidP="002C4175">
      <w:r>
        <w:separator/>
      </w:r>
    </w:p>
  </w:footnote>
  <w:footnote w:type="continuationSeparator" w:id="0">
    <w:p w14:paraId="12CE9E1C" w14:textId="77777777" w:rsidR="00A948BE" w:rsidRDefault="00A948BE" w:rsidP="002C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0AF8" w14:textId="77777777" w:rsidR="002C4175" w:rsidRDefault="002C4175">
    <w:pPr>
      <w:pStyle w:val="LO-normal"/>
      <w:jc w:val="center"/>
    </w:pPr>
  </w:p>
  <w:p w14:paraId="1D2AAC01" w14:textId="77777777" w:rsidR="002C4175" w:rsidRDefault="00BF636E">
    <w:pPr>
      <w:pStyle w:val="LO-normal"/>
      <w:tabs>
        <w:tab w:val="center" w:pos="4252"/>
        <w:tab w:val="right" w:pos="8504"/>
      </w:tabs>
      <w:jc w:val="both"/>
    </w:pPr>
    <w:r>
      <w:rPr>
        <w:noProof/>
      </w:rPr>
      <w:drawing>
        <wp:inline distT="0" distB="0" distL="0" distR="0" wp14:anchorId="0F8042B1" wp14:editId="468B3919">
          <wp:extent cx="1009650" cy="904875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258"/>
    <w:multiLevelType w:val="multilevel"/>
    <w:tmpl w:val="D3329C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1B7A4C"/>
    <w:multiLevelType w:val="multilevel"/>
    <w:tmpl w:val="2D662B8C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335E79"/>
    <w:multiLevelType w:val="multilevel"/>
    <w:tmpl w:val="1E920A10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num w:numId="1" w16cid:durableId="206721009">
    <w:abstractNumId w:val="1"/>
  </w:num>
  <w:num w:numId="2" w16cid:durableId="227033428">
    <w:abstractNumId w:val="2"/>
  </w:num>
  <w:num w:numId="3" w16cid:durableId="21419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75"/>
    <w:rsid w:val="002C4175"/>
    <w:rsid w:val="00A948BE"/>
    <w:rsid w:val="00A94DA1"/>
    <w:rsid w:val="00B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605D"/>
  <w15:docId w15:val="{8A5CB25C-7EEE-4434-BA49-6DD1776E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6AA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06F36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06F36"/>
  </w:style>
  <w:style w:type="character" w:styleId="Forte">
    <w:name w:val="Strong"/>
    <w:basedOn w:val="Fontepargpadro"/>
    <w:uiPriority w:val="22"/>
    <w:qFormat/>
    <w:rsid w:val="00606F36"/>
    <w:rPr>
      <w:b/>
      <w:bCs/>
    </w:rPr>
  </w:style>
  <w:style w:type="character" w:customStyle="1" w:styleId="CabealhoChar1">
    <w:name w:val="Cabeçalho Char1"/>
    <w:basedOn w:val="Fontepargpadro"/>
    <w:link w:val="Cabealho2"/>
    <w:uiPriority w:val="99"/>
    <w:qFormat/>
    <w:rsid w:val="003A52A1"/>
  </w:style>
  <w:style w:type="character" w:customStyle="1" w:styleId="RodapChar1">
    <w:name w:val="Rodapé Char1"/>
    <w:basedOn w:val="Fontepargpadro"/>
    <w:link w:val="Rodap2"/>
    <w:uiPriority w:val="99"/>
    <w:qFormat/>
    <w:rsid w:val="003A52A1"/>
  </w:style>
  <w:style w:type="character" w:styleId="TextodoEspaoReservado">
    <w:name w:val="Placeholder Text"/>
    <w:basedOn w:val="Fontepargpadro"/>
    <w:uiPriority w:val="99"/>
    <w:semiHidden/>
    <w:qFormat/>
    <w:rsid w:val="000736EB"/>
    <w:rPr>
      <w:color w:val="808080"/>
    </w:rPr>
  </w:style>
  <w:style w:type="paragraph" w:styleId="Ttulo">
    <w:name w:val="Title"/>
    <w:basedOn w:val="LO-normal"/>
    <w:next w:val="Corpodetexto"/>
    <w:qFormat/>
    <w:rsid w:val="00285FC3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CE174B"/>
    <w:pPr>
      <w:spacing w:after="140" w:line="276" w:lineRule="auto"/>
    </w:pPr>
  </w:style>
  <w:style w:type="paragraph" w:styleId="Lista">
    <w:name w:val="List"/>
    <w:basedOn w:val="Corpodetexto"/>
    <w:rsid w:val="00CE174B"/>
    <w:rPr>
      <w:rFonts w:cs="Lucida Sans"/>
    </w:rPr>
  </w:style>
  <w:style w:type="paragraph" w:customStyle="1" w:styleId="Legenda1">
    <w:name w:val="Legenda1"/>
    <w:basedOn w:val="Normal"/>
    <w:qFormat/>
    <w:rsid w:val="002C417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E174B"/>
    <w:pPr>
      <w:suppressLineNumbers/>
    </w:pPr>
    <w:rPr>
      <w:rFonts w:cs="Lucida Sans"/>
    </w:rPr>
  </w:style>
  <w:style w:type="paragraph" w:customStyle="1" w:styleId="Ttulo11">
    <w:name w:val="Título 11"/>
    <w:next w:val="LO-normal"/>
    <w:qFormat/>
    <w:rsid w:val="00285FC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next w:val="LO-normal"/>
    <w:qFormat/>
    <w:rsid w:val="00285FC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next w:val="LO-normal"/>
    <w:qFormat/>
    <w:rsid w:val="00285FC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next w:val="LO-normal"/>
    <w:qFormat/>
    <w:rsid w:val="00285FC3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next w:val="LO-normal"/>
    <w:qFormat/>
    <w:rsid w:val="00285FC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next w:val="LO-normal"/>
    <w:qFormat/>
    <w:rsid w:val="00285FC3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CE174B"/>
    <w:pPr>
      <w:suppressLineNumbers/>
      <w:spacing w:before="120" w:after="120"/>
    </w:pPr>
    <w:rPr>
      <w:rFonts w:cs="Lucida Sans"/>
      <w:i/>
      <w:iCs/>
    </w:rPr>
  </w:style>
  <w:style w:type="paragraph" w:customStyle="1" w:styleId="LO-normal">
    <w:name w:val="LO-normal"/>
    <w:qFormat/>
    <w:rsid w:val="00285FC3"/>
  </w:style>
  <w:style w:type="paragraph" w:styleId="Subttulo">
    <w:name w:val="Subtitle"/>
    <w:basedOn w:val="LO-normal"/>
    <w:next w:val="LO-normal"/>
    <w:qFormat/>
    <w:rsid w:val="00285F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6AAD"/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qFormat/>
    <w:rsid w:val="00606F3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qFormat/>
    <w:rsid w:val="00606F3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606F36"/>
    <w:pPr>
      <w:spacing w:beforeAutospacing="1" w:afterAutospacing="1"/>
    </w:pPr>
  </w:style>
  <w:style w:type="paragraph" w:customStyle="1" w:styleId="CabealhoeRodap">
    <w:name w:val="Cabeçalho e Rodapé"/>
    <w:basedOn w:val="Normal"/>
    <w:qFormat/>
    <w:rsid w:val="002C4175"/>
  </w:style>
  <w:style w:type="paragraph" w:customStyle="1" w:styleId="Cabealho2">
    <w:name w:val="Cabeçalho2"/>
    <w:basedOn w:val="Normal"/>
    <w:link w:val="CabealhoChar1"/>
    <w:uiPriority w:val="99"/>
    <w:unhideWhenUsed/>
    <w:rsid w:val="003A52A1"/>
    <w:pPr>
      <w:tabs>
        <w:tab w:val="center" w:pos="4252"/>
        <w:tab w:val="right" w:pos="8504"/>
      </w:tabs>
    </w:pPr>
  </w:style>
  <w:style w:type="paragraph" w:customStyle="1" w:styleId="Rodap2">
    <w:name w:val="Rodapé2"/>
    <w:basedOn w:val="Normal"/>
    <w:link w:val="RodapChar1"/>
    <w:uiPriority w:val="99"/>
    <w:unhideWhenUsed/>
    <w:rsid w:val="003A52A1"/>
    <w:pPr>
      <w:tabs>
        <w:tab w:val="center" w:pos="4252"/>
        <w:tab w:val="right" w:pos="8504"/>
      </w:tabs>
    </w:pPr>
  </w:style>
  <w:style w:type="table" w:customStyle="1" w:styleId="NormalTable0">
    <w:name w:val="Normal Table0"/>
    <w:rsid w:val="00285FC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0DA1693591D84AACA88B3FE09B400E" ma:contentTypeVersion="12" ma:contentTypeDescription="Crie um novo documento." ma:contentTypeScope="" ma:versionID="645293cf29f86f152f656161ad84bef7">
  <xsd:schema xmlns:xsd="http://www.w3.org/2001/XMLSchema" xmlns:xs="http://www.w3.org/2001/XMLSchema" xmlns:p="http://schemas.microsoft.com/office/2006/metadata/properties" xmlns:ns2="9e728a72-7c8a-4264-9761-065b4a8c6aeb" xmlns:ns3="37870aa2-5b08-4e5a-ab41-657c443b21b9" targetNamespace="http://schemas.microsoft.com/office/2006/metadata/properties" ma:root="true" ma:fieldsID="b8ddc43120b40697b8277399fd6962d8" ns2:_="" ns3:_="">
    <xsd:import namespace="9e728a72-7c8a-4264-9761-065b4a8c6aeb"/>
    <xsd:import namespace="37870aa2-5b08-4e5a-ab41-657c443b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a72-7c8a-4264-9761-065b4a8c6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0aa2-5b08-4e5a-ab41-657c443b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70950-FF79-4C33-8191-F3839FDEA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469F1-B072-4916-BFB6-BF34A858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26E51-EFB8-459B-B0C7-ED81B4AA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28a72-7c8a-4264-9761-065b4a8c6aeb"/>
    <ds:schemaRef ds:uri="37870aa2-5b08-4e5a-ab41-657c443b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4493</Characters>
  <Application>Microsoft Office Word</Application>
  <DocSecurity>0</DocSecurity>
  <Lines>37</Lines>
  <Paragraphs>10</Paragraphs>
  <ScaleCrop>false</ScaleCrop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Tupinamba Cabral</dc:creator>
  <dc:description/>
  <cp:lastModifiedBy>Mariana Cruz Almeida Pires</cp:lastModifiedBy>
  <cp:revision>2</cp:revision>
  <cp:lastPrinted>2021-02-26T13:56:00Z</cp:lastPrinted>
  <dcterms:created xsi:type="dcterms:W3CDTF">2022-11-01T01:06:00Z</dcterms:created>
  <dcterms:modified xsi:type="dcterms:W3CDTF">2022-11-01T01:06:00Z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0x010100B40DA1693591D84AACA88B3FE09B400E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